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29369E" w14:textId="77777777" w:rsidR="0084511A" w:rsidRDefault="000B4467">
      <w:pPr>
        <w:tabs>
          <w:tab w:val="left" w:pos="903"/>
        </w:tabs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ab/>
      </w:r>
    </w:p>
    <w:p w14:paraId="0B2110B6" w14:textId="3BAE4665" w:rsidR="0084511A" w:rsidRDefault="000B4467">
      <w:pPr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8"/>
          <w:szCs w:val="28"/>
        </w:rPr>
        <w:t>Zjednodušené metody vykazování pro technickou pomoc OPŽP/OPST pro období 2021–2027: stanovení přímých a ostatních výdajů dle čl.</w:t>
      </w:r>
      <w:r w:rsidR="0088218D">
        <w:rPr>
          <w:rFonts w:ascii="Segoe UI" w:hAnsi="Segoe UI" w:cs="Segoe UI"/>
          <w:b/>
          <w:sz w:val="28"/>
          <w:szCs w:val="28"/>
        </w:rPr>
        <w:t> </w:t>
      </w:r>
      <w:r>
        <w:rPr>
          <w:rFonts w:ascii="Segoe UI" w:hAnsi="Segoe UI" w:cs="Segoe UI"/>
          <w:b/>
          <w:sz w:val="28"/>
          <w:szCs w:val="28"/>
        </w:rPr>
        <w:t>56 návrhu obecného nařízení</w:t>
      </w:r>
      <w:r>
        <w:rPr>
          <w:rStyle w:val="Znakapoznpodarou"/>
          <w:rFonts w:ascii="Segoe UI" w:hAnsi="Segoe UI" w:cs="Segoe UI"/>
          <w:b/>
          <w:sz w:val="20"/>
          <w:szCs w:val="20"/>
        </w:rPr>
        <w:footnoteReference w:id="1"/>
      </w:r>
    </w:p>
    <w:p w14:paraId="455C449C" w14:textId="77777777" w:rsidR="0084511A" w:rsidRDefault="0084511A">
      <w:pPr>
        <w:jc w:val="both"/>
        <w:rPr>
          <w:rFonts w:ascii="Segoe UI" w:hAnsi="Segoe UI" w:cs="Segoe UI"/>
          <w:b/>
          <w:sz w:val="20"/>
          <w:szCs w:val="20"/>
        </w:rPr>
      </w:pPr>
    </w:p>
    <w:p w14:paraId="7FC0E3A5" w14:textId="77777777" w:rsidR="0084511A" w:rsidRDefault="000B4467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V období 2021–2027 je dle čl. 56 obecného nařízení umožněno aplikovat sazbu až 40 % ze mzdových výdajů.  </w:t>
      </w:r>
    </w:p>
    <w:p w14:paraId="25EA1C04" w14:textId="77777777" w:rsidR="0084511A" w:rsidRDefault="000B4467">
      <w:pPr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8"/>
          <w:szCs w:val="28"/>
        </w:rPr>
        <w:t>Technická pomoc OPŽP/OPST</w:t>
      </w:r>
      <w:r>
        <w:rPr>
          <w:rFonts w:ascii="Segoe UI" w:hAnsi="Segoe UI" w:cs="Segoe UI"/>
          <w:b/>
          <w:sz w:val="20"/>
          <w:szCs w:val="20"/>
        </w:rPr>
        <w:t xml:space="preserve"> </w:t>
      </w:r>
      <w:r>
        <w:rPr>
          <w:rStyle w:val="Znakapoznpodarou"/>
          <w:rFonts w:ascii="Segoe UI" w:hAnsi="Segoe UI" w:cs="Segoe UI"/>
          <w:b/>
          <w:sz w:val="20"/>
          <w:szCs w:val="20"/>
        </w:rPr>
        <w:footnoteReference w:id="2"/>
      </w:r>
    </w:p>
    <w:p w14:paraId="6B0AAEA0" w14:textId="636F942A" w:rsidR="0084511A" w:rsidRDefault="000B4467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Výdaje za zaměstnance s uzavřenou pracovní smlouvou na plný či částečný pracovní úvazek a zaměstnance ve služebním poměru, kteří implementují program minimálně z 25 % své pracovní činnosti nebo výkonu služby. Výdaje technické pomoci jsou tvořené přímými výdaji na platy pracovníků a ostatními výdaji spočívajícími v materiálně-technickém zajištění činností těchto pracovníků a nákupu služeb. Podrobně níže. </w:t>
      </w:r>
    </w:p>
    <w:p w14:paraId="13DA2A09" w14:textId="77777777" w:rsidR="0084511A" w:rsidRDefault="000B4467">
      <w:pPr>
        <w:jc w:val="both"/>
        <w:rPr>
          <w:rFonts w:ascii="Segoe UI" w:hAnsi="Segoe UI" w:cs="Segoe UI"/>
          <w:b/>
          <w:sz w:val="28"/>
          <w:szCs w:val="28"/>
        </w:rPr>
      </w:pPr>
      <w:r>
        <w:rPr>
          <w:rFonts w:ascii="Segoe UI" w:hAnsi="Segoe UI" w:cs="Segoe UI"/>
          <w:b/>
          <w:sz w:val="28"/>
          <w:szCs w:val="28"/>
        </w:rPr>
        <w:t>Přímé výdaje:</w:t>
      </w:r>
    </w:p>
    <w:p w14:paraId="338B6320" w14:textId="77777777" w:rsidR="0084511A" w:rsidRDefault="000B4467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mzdy/platy;</w:t>
      </w:r>
    </w:p>
    <w:p w14:paraId="0566A3E3" w14:textId="77777777" w:rsidR="0084511A" w:rsidRDefault="000B4467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sociální pojištění;</w:t>
      </w:r>
    </w:p>
    <w:p w14:paraId="4DA9E619" w14:textId="77777777" w:rsidR="0084511A" w:rsidRDefault="000B4467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zdravotní pojištění;</w:t>
      </w:r>
    </w:p>
    <w:p w14:paraId="09ED347D" w14:textId="0EBD5650" w:rsidR="0084511A" w:rsidRDefault="000B4467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náhrady mzdy/platu při nemoci a pracovní neschopnosti; </w:t>
      </w:r>
    </w:p>
    <w:p w14:paraId="10A4EEB1" w14:textId="7D631D86" w:rsidR="00076CA0" w:rsidRDefault="008A1D6C">
      <w:pPr>
        <w:jc w:val="both"/>
        <w:rPr>
          <w:rFonts w:ascii="Segoe UI" w:hAnsi="Segoe UI" w:cs="Segoe UI"/>
          <w:sz w:val="20"/>
          <w:szCs w:val="20"/>
        </w:rPr>
      </w:pPr>
      <w:r w:rsidRPr="008A1D6C">
        <w:rPr>
          <w:rFonts w:ascii="Segoe UI" w:hAnsi="Segoe UI" w:cs="Segoe UI"/>
          <w:sz w:val="20"/>
          <w:szCs w:val="20"/>
        </w:rPr>
        <w:t>odstupné dle zákoníku práce či odbytné dle zákona o státní službě</w:t>
      </w:r>
      <w:r w:rsidR="00076CA0">
        <w:rPr>
          <w:rFonts w:ascii="Segoe UI" w:hAnsi="Segoe UI" w:cs="Segoe UI"/>
          <w:sz w:val="20"/>
          <w:szCs w:val="20"/>
        </w:rPr>
        <w:t>;</w:t>
      </w:r>
    </w:p>
    <w:p w14:paraId="6C0345FF" w14:textId="77777777" w:rsidR="0084511A" w:rsidRDefault="000B4467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příspěvek FKSP; stravenkový paušál, případně jiný příspěvek na stravování (vždy pouze jedna metoda příspěvku na stravování, aby nedocházelo k dvojímu financování);</w:t>
      </w:r>
    </w:p>
    <w:p w14:paraId="54A13661" w14:textId="77777777" w:rsidR="0084511A" w:rsidRDefault="000B4467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náklady na vyplácení čerpání dovolené mezi mateřskou a rodičovskou dovolenou; náhrada mzdy za dovolenou, na kterou vznikl zaměstnanci nárok v jednom kalendářním roce a tato dovolená byla převedena a čerpána až v roce následujícím; náhrada mzdy za nevyčerpanou dovolenou;</w:t>
      </w:r>
    </w:p>
    <w:p w14:paraId="47B0130F" w14:textId="77777777" w:rsidR="0084511A" w:rsidRDefault="000B4467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náhrady překážek v práci/službě.</w:t>
      </w:r>
    </w:p>
    <w:p w14:paraId="48D80EE6" w14:textId="77777777" w:rsidR="0084511A" w:rsidRDefault="000B4467">
      <w:pPr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br w:type="page"/>
      </w:r>
    </w:p>
    <w:p w14:paraId="23C06F57" w14:textId="77777777" w:rsidR="0084511A" w:rsidRDefault="000B4467">
      <w:pPr>
        <w:jc w:val="both"/>
        <w:rPr>
          <w:rFonts w:ascii="Segoe UI" w:hAnsi="Segoe UI" w:cs="Segoe UI"/>
          <w:b/>
          <w:sz w:val="28"/>
          <w:szCs w:val="28"/>
        </w:rPr>
      </w:pPr>
      <w:r>
        <w:rPr>
          <w:rFonts w:ascii="Segoe UI" w:hAnsi="Segoe UI" w:cs="Segoe UI"/>
          <w:b/>
          <w:sz w:val="28"/>
          <w:szCs w:val="28"/>
        </w:rPr>
        <w:lastRenderedPageBreak/>
        <w:t>Ostatní výdaje:</w:t>
      </w:r>
    </w:p>
    <w:p w14:paraId="3ABE2496" w14:textId="77777777" w:rsidR="0084511A" w:rsidRDefault="000B4467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odměny z dohod mimo pracovní/služební poměr (DPP, DPČ); </w:t>
      </w:r>
    </w:p>
    <w:p w14:paraId="2B8E5E11" w14:textId="32081278" w:rsidR="0084511A" w:rsidRDefault="000B4467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náklady na zaměstnance zpracovávající odborné posudky k projektům OPŽP mimo implementační strukturu OPŽP;</w:t>
      </w:r>
    </w:p>
    <w:p w14:paraId="7AB943EE" w14:textId="3A1D7E1C" w:rsidR="005E4B38" w:rsidRDefault="005E4B38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náklady na zaměstnance</w:t>
      </w:r>
      <w:r w:rsidR="00CF4264">
        <w:rPr>
          <w:rFonts w:ascii="Segoe UI" w:hAnsi="Segoe UI" w:cs="Segoe UI"/>
          <w:sz w:val="20"/>
          <w:szCs w:val="20"/>
        </w:rPr>
        <w:t>,</w:t>
      </w:r>
      <w:r>
        <w:rPr>
          <w:rFonts w:ascii="Segoe UI" w:hAnsi="Segoe UI" w:cs="Segoe UI"/>
          <w:sz w:val="20"/>
          <w:szCs w:val="20"/>
        </w:rPr>
        <w:t xml:space="preserve"> kteří </w:t>
      </w:r>
      <w:r w:rsidR="00B120DB">
        <w:rPr>
          <w:rFonts w:ascii="Segoe UI" w:hAnsi="Segoe UI" w:cs="Segoe UI"/>
          <w:sz w:val="20"/>
          <w:szCs w:val="20"/>
        </w:rPr>
        <w:t xml:space="preserve">se na cílech projektu nepodílejí přímo, ale </w:t>
      </w:r>
      <w:r w:rsidR="00CF4264">
        <w:rPr>
          <w:rFonts w:ascii="Segoe UI" w:hAnsi="Segoe UI" w:cs="Segoe UI"/>
          <w:sz w:val="20"/>
          <w:szCs w:val="20"/>
        </w:rPr>
        <w:t>zajišťují nezbytnou administrativní podporu v rámci projektů</w:t>
      </w:r>
      <w:r w:rsidR="00B120DB">
        <w:rPr>
          <w:rFonts w:ascii="Segoe UI" w:hAnsi="Segoe UI" w:cs="Segoe UI"/>
          <w:sz w:val="20"/>
          <w:szCs w:val="20"/>
        </w:rPr>
        <w:t>;</w:t>
      </w:r>
    </w:p>
    <w:p w14:paraId="0FBB8846" w14:textId="77777777" w:rsidR="0084511A" w:rsidRDefault="000B4467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cestovní výdaje tuzemské i zahraniční vč. náhrady cest zahraničních expertů;</w:t>
      </w:r>
    </w:p>
    <w:p w14:paraId="28678D98" w14:textId="77777777" w:rsidR="0084511A" w:rsidRDefault="000B4467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režijní a provozně udržovací náklady (nájemné, energie, voda, internet, hlasové a datové služby, licence, tiskové služby, náklady na vybavení kancelářských prostor, IT vybavení, vybavení pro hlasové a mobilní komunikace, kancelářské pomůcky, zajištění autoparku včetně jeho provozu, catering a reprezentační fond);</w:t>
      </w:r>
    </w:p>
    <w:p w14:paraId="27AFC17C" w14:textId="77777777" w:rsidR="0084511A" w:rsidRDefault="000B4467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náklady na vzdělávání; </w:t>
      </w:r>
    </w:p>
    <w:p w14:paraId="1C9E6D8B" w14:textId="77777777" w:rsidR="0084511A" w:rsidRDefault="000B4467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zajištění propagace a publicity (kampaně v masmédiích, inzerce na internetu, zajištění grafiky a tisku, konference a semináře k propagaci programu a pro žadatele, účast na veletrzích, akce pro veřejnost);</w:t>
      </w:r>
    </w:p>
    <w:p w14:paraId="04DD2985" w14:textId="77777777" w:rsidR="0084511A" w:rsidRDefault="000B4467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zajištění dodavatelů služeb (překlady a tlumočení, vzdělávání a semináře pro zaměstnance, technické a organizační zajištění monitorovacích výborů a dalších zasedání, odborných jednání, seminářů aj.); </w:t>
      </w:r>
    </w:p>
    <w:p w14:paraId="338E7363" w14:textId="77777777" w:rsidR="0084511A" w:rsidRDefault="000B4467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poradenské a právní služby, specializované odborné poradenství, expertní hodnocení, expertní kontrolní a auditní služby; </w:t>
      </w:r>
    </w:p>
    <w:p w14:paraId="7AED6CE9" w14:textId="77777777" w:rsidR="0084511A" w:rsidRDefault="000B4467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zajištění odborných studií, analýz, evaluací; </w:t>
      </w:r>
    </w:p>
    <w:p w14:paraId="01781F95" w14:textId="77777777" w:rsidR="0084511A" w:rsidRDefault="000B4467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jiné nezbytné služby.</w:t>
      </w:r>
    </w:p>
    <w:p w14:paraId="78605132" w14:textId="77777777" w:rsidR="0084511A" w:rsidRDefault="0084511A">
      <w:pPr>
        <w:jc w:val="both"/>
        <w:rPr>
          <w:rFonts w:ascii="Segoe UI" w:hAnsi="Segoe UI" w:cs="Segoe UI"/>
          <w:sz w:val="20"/>
          <w:szCs w:val="20"/>
        </w:rPr>
      </w:pPr>
    </w:p>
    <w:p w14:paraId="2217E29A" w14:textId="77777777" w:rsidR="0084511A" w:rsidRDefault="0084511A">
      <w:pPr>
        <w:jc w:val="both"/>
        <w:rPr>
          <w:rFonts w:ascii="Segoe UI" w:hAnsi="Segoe UI" w:cs="Segoe UI"/>
          <w:sz w:val="20"/>
          <w:szCs w:val="20"/>
        </w:rPr>
      </w:pPr>
    </w:p>
    <w:p w14:paraId="095D017E" w14:textId="77777777" w:rsidR="0084511A" w:rsidRDefault="0084511A">
      <w:pPr>
        <w:jc w:val="both"/>
        <w:rPr>
          <w:rFonts w:ascii="Segoe UI" w:hAnsi="Segoe UI" w:cs="Segoe UI"/>
          <w:sz w:val="20"/>
          <w:szCs w:val="20"/>
        </w:rPr>
      </w:pPr>
    </w:p>
    <w:p w14:paraId="500F068E" w14:textId="77777777" w:rsidR="0084511A" w:rsidRDefault="0084511A">
      <w:pPr>
        <w:jc w:val="both"/>
        <w:rPr>
          <w:rFonts w:ascii="Segoe UI" w:hAnsi="Segoe UI" w:cs="Segoe UI"/>
          <w:sz w:val="20"/>
          <w:szCs w:val="20"/>
        </w:rPr>
      </w:pPr>
    </w:p>
    <w:p w14:paraId="6B7B4FDF" w14:textId="77777777" w:rsidR="0084511A" w:rsidRDefault="0084511A">
      <w:pPr>
        <w:jc w:val="both"/>
        <w:rPr>
          <w:rFonts w:ascii="Segoe UI" w:hAnsi="Segoe UI" w:cs="Segoe UI"/>
          <w:sz w:val="20"/>
          <w:szCs w:val="20"/>
        </w:rPr>
      </w:pPr>
    </w:p>
    <w:p w14:paraId="74B4197E" w14:textId="77777777" w:rsidR="0084511A" w:rsidRDefault="0084511A">
      <w:pPr>
        <w:jc w:val="both"/>
        <w:rPr>
          <w:rFonts w:ascii="Segoe UI" w:hAnsi="Segoe UI" w:cs="Segoe UI"/>
          <w:sz w:val="20"/>
          <w:szCs w:val="20"/>
        </w:rPr>
      </w:pPr>
    </w:p>
    <w:p w14:paraId="3C42DDCD" w14:textId="77777777" w:rsidR="0084511A" w:rsidRDefault="0084511A">
      <w:pPr>
        <w:jc w:val="both"/>
        <w:rPr>
          <w:rFonts w:ascii="Segoe UI" w:hAnsi="Segoe UI" w:cs="Segoe UI"/>
          <w:sz w:val="20"/>
          <w:szCs w:val="20"/>
        </w:rPr>
      </w:pPr>
    </w:p>
    <w:p w14:paraId="6C43D205" w14:textId="77777777" w:rsidR="0084511A" w:rsidRDefault="0084511A">
      <w:pPr>
        <w:jc w:val="both"/>
        <w:rPr>
          <w:rFonts w:ascii="Segoe UI" w:hAnsi="Segoe UI" w:cs="Segoe UI"/>
          <w:sz w:val="20"/>
          <w:szCs w:val="20"/>
        </w:rPr>
      </w:pPr>
    </w:p>
    <w:p w14:paraId="00DCEDC6" w14:textId="77777777" w:rsidR="0084511A" w:rsidRDefault="0084511A">
      <w:pPr>
        <w:jc w:val="both"/>
        <w:rPr>
          <w:rFonts w:ascii="Segoe UI" w:hAnsi="Segoe UI" w:cs="Segoe UI"/>
          <w:sz w:val="20"/>
          <w:szCs w:val="20"/>
        </w:rPr>
      </w:pPr>
    </w:p>
    <w:sectPr w:rsidR="0084511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07FC9" w14:textId="77777777" w:rsidR="00E5278C" w:rsidRDefault="00E5278C">
      <w:pPr>
        <w:spacing w:after="0" w:line="240" w:lineRule="auto"/>
      </w:pPr>
      <w:r>
        <w:separator/>
      </w:r>
    </w:p>
  </w:endnote>
  <w:endnote w:type="continuationSeparator" w:id="0">
    <w:p w14:paraId="3B59429C" w14:textId="77777777" w:rsidR="00E5278C" w:rsidRDefault="00E52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52312561"/>
      <w:docPartObj>
        <w:docPartGallery w:val="Page Numbers (Bottom of Page)"/>
        <w:docPartUnique/>
      </w:docPartObj>
    </w:sdtPr>
    <w:sdtEndPr/>
    <w:sdtContent>
      <w:p w14:paraId="1A4A1A93" w14:textId="77777777" w:rsidR="0084511A" w:rsidRDefault="0084511A">
        <w:pPr>
          <w:pStyle w:val="Zpat"/>
          <w:ind w:firstLine="708"/>
          <w:jc w:val="center"/>
        </w:pPr>
      </w:p>
      <w:tbl>
        <w:tblPr>
          <w:tblW w:w="0" w:type="auto"/>
          <w:tblBorders>
            <w:top w:val="single" w:sz="4" w:space="0" w:color="auto"/>
          </w:tblBorders>
          <w:tblLook w:val="01E0" w:firstRow="1" w:lastRow="1" w:firstColumn="1" w:lastColumn="1" w:noHBand="0" w:noVBand="0"/>
        </w:tblPr>
        <w:tblGrid>
          <w:gridCol w:w="2971"/>
          <w:gridCol w:w="3037"/>
          <w:gridCol w:w="3064"/>
        </w:tblGrid>
        <w:tr w:rsidR="0084511A" w14:paraId="4DC7776C" w14:textId="77777777">
          <w:trPr>
            <w:trHeight w:val="274"/>
          </w:trPr>
          <w:tc>
            <w:tcPr>
              <w:tcW w:w="3343" w:type="dxa"/>
            </w:tcPr>
            <w:p w14:paraId="27EA283C" w14:textId="73DEF4C3" w:rsidR="0084511A" w:rsidRDefault="0084511A">
              <w:pPr>
                <w:pStyle w:val="Zpat"/>
                <w:rPr>
                  <w:rFonts w:ascii="Segoe UI" w:hAnsi="Segoe UI" w:cs="Segoe UI"/>
                  <w:b/>
                  <w:bCs/>
                </w:rPr>
              </w:pPr>
            </w:p>
          </w:tc>
          <w:tc>
            <w:tcPr>
              <w:tcW w:w="3344" w:type="dxa"/>
            </w:tcPr>
            <w:p w14:paraId="5D164D6D" w14:textId="4B60C224" w:rsidR="0084511A" w:rsidRDefault="000B4467">
              <w:pPr>
                <w:pStyle w:val="Zpat"/>
                <w:rPr>
                  <w:rFonts w:ascii="Segoe UI" w:hAnsi="Segoe UI" w:cs="Segoe UI"/>
                  <w:b/>
                  <w:bCs/>
                </w:rPr>
              </w:pPr>
              <w:r>
                <w:rPr>
                  <w:rFonts w:ascii="Segoe UI" w:hAnsi="Segoe UI" w:cs="Segoe UI"/>
                  <w:b/>
                  <w:bCs/>
                </w:rPr>
                <w:t xml:space="preserve">                   verze </w:t>
              </w:r>
              <w:r w:rsidRPr="00AF41B6">
                <w:rPr>
                  <w:rFonts w:ascii="Segoe UI" w:hAnsi="Segoe UI" w:cs="Segoe UI"/>
                  <w:b/>
                  <w:bCs/>
                </w:rPr>
                <w:t>1</w:t>
              </w:r>
              <w:r w:rsidR="00C83E8B">
                <w:rPr>
                  <w:rFonts w:ascii="Segoe UI" w:hAnsi="Segoe UI" w:cs="Segoe UI"/>
                  <w:b/>
                  <w:bCs/>
                </w:rPr>
                <w:t>.</w:t>
              </w:r>
              <w:r w:rsidR="00C81C15">
                <w:rPr>
                  <w:rFonts w:ascii="Segoe UI" w:hAnsi="Segoe UI" w:cs="Segoe UI"/>
                  <w:b/>
                  <w:bCs/>
                </w:rPr>
                <w:t>2</w:t>
              </w:r>
            </w:p>
          </w:tc>
          <w:tc>
            <w:tcPr>
              <w:tcW w:w="3344" w:type="dxa"/>
            </w:tcPr>
            <w:p w14:paraId="3BA54150" w14:textId="77777777" w:rsidR="0084511A" w:rsidRDefault="000B4467">
              <w:pPr>
                <w:pStyle w:val="Zpat"/>
                <w:jc w:val="right"/>
                <w:rPr>
                  <w:rFonts w:ascii="Segoe UI" w:hAnsi="Segoe UI" w:cs="Segoe UI"/>
                  <w:b/>
                  <w:bCs/>
                </w:rPr>
              </w:pPr>
              <w:r w:rsidRPr="00222786">
                <w:rPr>
                  <w:rFonts w:ascii="Segoe UI" w:hAnsi="Segoe UI" w:cs="Segoe UI"/>
                  <w:b/>
                  <w:bCs/>
                </w:rPr>
                <w:t xml:space="preserve">Strana </w:t>
              </w:r>
              <w:r w:rsidRPr="00222786">
                <w:rPr>
                  <w:rStyle w:val="slostrnky"/>
                  <w:rFonts w:ascii="Segoe UI" w:hAnsi="Segoe UI" w:cs="Segoe UI"/>
                  <w:b/>
                  <w:bCs/>
                  <w:color w:val="auto"/>
                </w:rPr>
                <w:fldChar w:fldCharType="begin"/>
              </w:r>
              <w:r w:rsidRPr="00222786">
                <w:rPr>
                  <w:rStyle w:val="slostrnky"/>
                  <w:rFonts w:ascii="Segoe UI" w:hAnsi="Segoe UI" w:cs="Segoe UI"/>
                  <w:b/>
                  <w:color w:val="auto"/>
                </w:rPr>
                <w:instrText xml:space="preserve"> PAGE </w:instrText>
              </w:r>
              <w:r w:rsidRPr="00222786">
                <w:rPr>
                  <w:rStyle w:val="slostrnky"/>
                  <w:rFonts w:ascii="Segoe UI" w:hAnsi="Segoe UI" w:cs="Segoe UI"/>
                  <w:b/>
                  <w:bCs/>
                  <w:color w:val="auto"/>
                </w:rPr>
                <w:fldChar w:fldCharType="separate"/>
              </w:r>
              <w:r w:rsidRPr="00222786">
                <w:rPr>
                  <w:rStyle w:val="slostrnky"/>
                  <w:rFonts w:ascii="Segoe UI" w:hAnsi="Segoe UI" w:cs="Segoe UI"/>
                  <w:b/>
                  <w:color w:val="auto"/>
                </w:rPr>
                <w:t>2</w:t>
              </w:r>
              <w:r w:rsidRPr="00222786">
                <w:rPr>
                  <w:rStyle w:val="slostrnky"/>
                  <w:rFonts w:ascii="Segoe UI" w:hAnsi="Segoe UI" w:cs="Segoe UI"/>
                  <w:b/>
                  <w:bCs/>
                  <w:color w:val="auto"/>
                </w:rPr>
                <w:fldChar w:fldCharType="end"/>
              </w:r>
              <w:r w:rsidRPr="00222786">
                <w:rPr>
                  <w:rStyle w:val="slostrnky"/>
                  <w:rFonts w:ascii="Segoe UI" w:hAnsi="Segoe UI" w:cs="Segoe UI"/>
                  <w:b/>
                  <w:color w:val="auto"/>
                </w:rPr>
                <w:t xml:space="preserve"> </w:t>
              </w:r>
              <w:r w:rsidRPr="00222786">
                <w:rPr>
                  <w:rStyle w:val="slostrnky"/>
                  <w:rFonts w:ascii="Segoe UI" w:hAnsi="Segoe UI" w:cs="Segoe UI"/>
                  <w:b/>
                  <w:color w:val="auto"/>
                  <w:lang w:val="en-US"/>
                </w:rPr>
                <w:t>[celkem</w:t>
              </w:r>
              <w:r w:rsidRPr="00222786">
                <w:rPr>
                  <w:rStyle w:val="slostrnky"/>
                  <w:rFonts w:ascii="Segoe UI" w:hAnsi="Segoe UI" w:cs="Segoe UI"/>
                  <w:b/>
                  <w:color w:val="auto"/>
                </w:rPr>
                <w:t xml:space="preserve"> </w:t>
              </w:r>
              <w:r w:rsidRPr="00222786">
                <w:rPr>
                  <w:rStyle w:val="slostrnky"/>
                  <w:rFonts w:ascii="Segoe UI" w:hAnsi="Segoe UI" w:cs="Segoe UI"/>
                  <w:b/>
                  <w:bCs/>
                  <w:color w:val="auto"/>
                </w:rPr>
                <w:fldChar w:fldCharType="begin"/>
              </w:r>
              <w:r w:rsidRPr="00222786">
                <w:rPr>
                  <w:rStyle w:val="slostrnky"/>
                  <w:rFonts w:ascii="Segoe UI" w:hAnsi="Segoe UI" w:cs="Segoe UI"/>
                  <w:b/>
                  <w:color w:val="auto"/>
                </w:rPr>
                <w:instrText xml:space="preserve"> NUMPAGES </w:instrText>
              </w:r>
              <w:r w:rsidRPr="00222786">
                <w:rPr>
                  <w:rStyle w:val="slostrnky"/>
                  <w:rFonts w:ascii="Segoe UI" w:hAnsi="Segoe UI" w:cs="Segoe UI"/>
                  <w:b/>
                  <w:bCs/>
                  <w:color w:val="auto"/>
                </w:rPr>
                <w:fldChar w:fldCharType="separate"/>
              </w:r>
              <w:r w:rsidRPr="00222786">
                <w:rPr>
                  <w:rStyle w:val="slostrnky"/>
                  <w:rFonts w:ascii="Segoe UI" w:hAnsi="Segoe UI" w:cs="Segoe UI"/>
                  <w:b/>
                  <w:color w:val="auto"/>
                </w:rPr>
                <w:t>2</w:t>
              </w:r>
              <w:r w:rsidRPr="00222786">
                <w:rPr>
                  <w:rStyle w:val="slostrnky"/>
                  <w:rFonts w:ascii="Segoe UI" w:hAnsi="Segoe UI" w:cs="Segoe UI"/>
                  <w:b/>
                  <w:bCs/>
                  <w:color w:val="auto"/>
                </w:rPr>
                <w:fldChar w:fldCharType="end"/>
              </w:r>
              <w:r>
                <w:rPr>
                  <w:rStyle w:val="slostrnky"/>
                  <w:rFonts w:ascii="Segoe UI" w:hAnsi="Segoe UI" w:cs="Segoe UI"/>
                  <w:color w:val="auto"/>
                </w:rPr>
                <w:t>]</w:t>
              </w:r>
            </w:p>
          </w:tc>
        </w:tr>
      </w:tbl>
      <w:p w14:paraId="783D5082" w14:textId="77777777" w:rsidR="0084511A" w:rsidRDefault="00935222">
        <w:pPr>
          <w:pStyle w:val="Zpat"/>
          <w:ind w:firstLine="708"/>
          <w:jc w:val="center"/>
        </w:pPr>
      </w:p>
    </w:sdtContent>
  </w:sdt>
  <w:p w14:paraId="6346891B" w14:textId="77777777" w:rsidR="0084511A" w:rsidRDefault="008451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232801" w14:textId="77777777" w:rsidR="00E5278C" w:rsidRDefault="00E5278C">
      <w:pPr>
        <w:spacing w:after="0" w:line="240" w:lineRule="auto"/>
      </w:pPr>
      <w:r>
        <w:separator/>
      </w:r>
    </w:p>
  </w:footnote>
  <w:footnote w:type="continuationSeparator" w:id="0">
    <w:p w14:paraId="1471333C" w14:textId="77777777" w:rsidR="00E5278C" w:rsidRDefault="00E5278C">
      <w:pPr>
        <w:spacing w:after="0" w:line="240" w:lineRule="auto"/>
      </w:pPr>
      <w:r>
        <w:continuationSeparator/>
      </w:r>
    </w:p>
  </w:footnote>
  <w:footnote w:id="1">
    <w:p w14:paraId="10E82E77" w14:textId="77777777" w:rsidR="0084511A" w:rsidRPr="00222786" w:rsidRDefault="000B4467">
      <w:pPr>
        <w:pStyle w:val="Textpoznpodarou"/>
        <w:jc w:val="both"/>
        <w:rPr>
          <w:rFonts w:ascii="Segoe UI" w:hAnsi="Segoe UI" w:cs="Segoe UI"/>
          <w:color w:val="444444"/>
          <w:sz w:val="18"/>
          <w:szCs w:val="18"/>
          <w:shd w:val="clear" w:color="auto" w:fill="FFFFFF"/>
        </w:rPr>
      </w:pPr>
      <w:r w:rsidRPr="00222786">
        <w:rPr>
          <w:rStyle w:val="Znakapoznpodarou"/>
          <w:rFonts w:ascii="Segoe UI" w:hAnsi="Segoe UI" w:cs="Segoe UI"/>
        </w:rPr>
        <w:footnoteRef/>
      </w:r>
      <w:r w:rsidRPr="00222786">
        <w:rPr>
          <w:rFonts w:ascii="Segoe UI" w:hAnsi="Segoe UI" w:cs="Segoe UI"/>
        </w:rPr>
        <w:t xml:space="preserve"> </w:t>
      </w:r>
      <w:r w:rsidRPr="00222786">
        <w:rPr>
          <w:rFonts w:ascii="Segoe UI" w:hAnsi="Segoe UI" w:cs="Segoe UI"/>
          <w:color w:val="444444"/>
          <w:sz w:val="18"/>
          <w:szCs w:val="18"/>
          <w:shd w:val="clear" w:color="auto" w:fill="FFFFFF"/>
        </w:rPr>
        <w:t>Návrh NAŘÍZENÍ EVROPSKÉHO PARLAMENTU A RADY o společných ustanoveních o Evropském fondu pro regionální rozvoj, Evropském sociálním fondu plus, Fondu soudržnosti a Evropském námořním a rybářském fondu a o finančních pravidlech pro tyto fondy a pro Azylový a migrační fond, Fond pro vnitřní bezpečnost a Nástroj pro správu hranic a vízové politiky, dále jen obecné nařízení nebo ON.</w:t>
      </w:r>
    </w:p>
    <w:p w14:paraId="364B5111" w14:textId="77777777" w:rsidR="0084511A" w:rsidRPr="00222786" w:rsidRDefault="0084511A">
      <w:pPr>
        <w:pStyle w:val="Textpoznpodarou"/>
        <w:rPr>
          <w:rFonts w:ascii="Segoe UI" w:hAnsi="Segoe UI" w:cs="Segoe UI"/>
        </w:rPr>
      </w:pPr>
    </w:p>
  </w:footnote>
  <w:footnote w:id="2">
    <w:p w14:paraId="0271B7BF" w14:textId="617B89D5" w:rsidR="0084511A" w:rsidRPr="00222786" w:rsidRDefault="000B4467">
      <w:pPr>
        <w:pStyle w:val="Textpoznpodarou"/>
        <w:jc w:val="both"/>
        <w:rPr>
          <w:rFonts w:ascii="Segoe UI" w:hAnsi="Segoe UI" w:cs="Segoe UI"/>
          <w:color w:val="444444"/>
          <w:sz w:val="18"/>
          <w:szCs w:val="18"/>
          <w:shd w:val="clear" w:color="auto" w:fill="FFFFFF"/>
        </w:rPr>
      </w:pPr>
      <w:r w:rsidRPr="00222786">
        <w:rPr>
          <w:rStyle w:val="Znakapoznpodarou"/>
          <w:rFonts w:ascii="Segoe UI" w:hAnsi="Segoe UI" w:cs="Segoe UI"/>
        </w:rPr>
        <w:footnoteRef/>
      </w:r>
      <w:r w:rsidRPr="00222786">
        <w:rPr>
          <w:rFonts w:ascii="Segoe UI" w:hAnsi="Segoe UI" w:cs="Segoe UI"/>
        </w:rPr>
        <w:t xml:space="preserve"> </w:t>
      </w:r>
      <w:r w:rsidRPr="00222786">
        <w:rPr>
          <w:rFonts w:ascii="Segoe UI" w:hAnsi="Segoe UI" w:cs="Segoe UI"/>
          <w:color w:val="444444"/>
          <w:sz w:val="18"/>
          <w:szCs w:val="18"/>
          <w:shd w:val="clear" w:color="auto" w:fill="FFFFFF"/>
        </w:rPr>
        <w:t>Jedná se o výčet a rozdělení nákladů na přímé a ostatní bez ohledu na to, zda se budou skutečně z</w:t>
      </w:r>
      <w:r w:rsidR="00517840" w:rsidRPr="00222786">
        <w:rPr>
          <w:rFonts w:ascii="Segoe UI" w:hAnsi="Segoe UI" w:cs="Segoe UI"/>
          <w:color w:val="444444"/>
          <w:sz w:val="18"/>
          <w:szCs w:val="18"/>
          <w:shd w:val="clear" w:color="auto" w:fill="FFFFFF"/>
        </w:rPr>
        <w:t xml:space="preserve"> TP </w:t>
      </w:r>
      <w:r w:rsidRPr="00222786">
        <w:rPr>
          <w:rFonts w:ascii="Segoe UI" w:hAnsi="Segoe UI" w:cs="Segoe UI"/>
          <w:color w:val="444444"/>
          <w:sz w:val="18"/>
          <w:szCs w:val="18"/>
          <w:shd w:val="clear" w:color="auto" w:fill="FFFFFF"/>
        </w:rPr>
        <w:t>OPŽP</w:t>
      </w:r>
      <w:r w:rsidR="00EE24E3" w:rsidRPr="00222786">
        <w:rPr>
          <w:rFonts w:ascii="Segoe UI" w:hAnsi="Segoe UI" w:cs="Segoe UI"/>
          <w:color w:val="444444"/>
          <w:sz w:val="18"/>
          <w:szCs w:val="18"/>
          <w:shd w:val="clear" w:color="auto" w:fill="FFFFFF"/>
        </w:rPr>
        <w:t>/OPST</w:t>
      </w:r>
      <w:r w:rsidRPr="00222786">
        <w:rPr>
          <w:rFonts w:ascii="Segoe UI" w:hAnsi="Segoe UI" w:cs="Segoe UI"/>
          <w:color w:val="444444"/>
          <w:sz w:val="18"/>
          <w:szCs w:val="18"/>
          <w:shd w:val="clear" w:color="auto" w:fill="FFFFFF"/>
        </w:rPr>
        <w:t xml:space="preserve"> hradit. Některé dílčí náklady (energie, voda, hlasové služby), </w:t>
      </w:r>
      <w:r w:rsidR="00517840" w:rsidRPr="00222786">
        <w:rPr>
          <w:rFonts w:ascii="Segoe UI" w:hAnsi="Segoe UI" w:cs="Segoe UI"/>
          <w:color w:val="444444"/>
          <w:sz w:val="18"/>
          <w:szCs w:val="18"/>
          <w:shd w:val="clear" w:color="auto" w:fill="FFFFFF"/>
        </w:rPr>
        <w:t>nemusí</w:t>
      </w:r>
      <w:r w:rsidRPr="00222786">
        <w:rPr>
          <w:rFonts w:ascii="Segoe UI" w:hAnsi="Segoe UI" w:cs="Segoe UI"/>
          <w:color w:val="444444"/>
          <w:sz w:val="18"/>
          <w:szCs w:val="18"/>
          <w:shd w:val="clear" w:color="auto" w:fill="FFFFFF"/>
        </w:rPr>
        <w:t xml:space="preserve"> být v rámci pozdější dohody </w:t>
      </w:r>
      <w:r w:rsidR="00CC1CD4" w:rsidRPr="00222786">
        <w:rPr>
          <w:rFonts w:ascii="Segoe UI" w:hAnsi="Segoe UI" w:cs="Segoe UI"/>
          <w:color w:val="444444"/>
          <w:sz w:val="18"/>
          <w:szCs w:val="18"/>
          <w:shd w:val="clear" w:color="auto" w:fill="FFFFFF"/>
        </w:rPr>
        <w:t xml:space="preserve">v rámci interních postupů každého subjektu </w:t>
      </w:r>
      <w:r w:rsidRPr="00222786">
        <w:rPr>
          <w:rFonts w:ascii="Segoe UI" w:hAnsi="Segoe UI" w:cs="Segoe UI"/>
          <w:color w:val="444444"/>
          <w:sz w:val="18"/>
          <w:szCs w:val="18"/>
          <w:shd w:val="clear" w:color="auto" w:fill="FFFFFF"/>
        </w:rPr>
        <w:t>z TP ani propláceny, ani z EU refundovány.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5954"/>
      <w:gridCol w:w="3118"/>
    </w:tblGrid>
    <w:tr w:rsidR="0084511A" w14:paraId="60127B23" w14:textId="77777777">
      <w:trPr>
        <w:trHeight w:val="237"/>
      </w:trPr>
      <w:tc>
        <w:tcPr>
          <w:tcW w:w="5954" w:type="dxa"/>
        </w:tcPr>
        <w:p w14:paraId="417089EF" w14:textId="24F4A593" w:rsidR="0084511A" w:rsidRDefault="000B4467">
          <w:pPr>
            <w:pStyle w:val="Zhlav"/>
            <w:rPr>
              <w:b/>
              <w:bCs/>
            </w:rPr>
          </w:pPr>
          <w:r>
            <w:rPr>
              <w:b/>
              <w:bCs/>
            </w:rPr>
            <w:t>Zjednodušené metody vykazování pro TP OPŽP/</w:t>
          </w:r>
          <w:r w:rsidR="006B0BED">
            <w:rPr>
              <w:b/>
              <w:bCs/>
            </w:rPr>
            <w:t>OPST</w:t>
          </w:r>
        </w:p>
      </w:tc>
      <w:tc>
        <w:tcPr>
          <w:tcW w:w="3118" w:type="dxa"/>
        </w:tcPr>
        <w:p w14:paraId="15685F08" w14:textId="27B227F3" w:rsidR="0084511A" w:rsidRDefault="000B4467">
          <w:pPr>
            <w:pStyle w:val="Zhlav"/>
            <w:rPr>
              <w:b/>
              <w:bCs/>
            </w:rPr>
          </w:pPr>
          <w:r>
            <w:rPr>
              <w:b/>
              <w:bCs/>
            </w:rPr>
            <w:t xml:space="preserve">Příloha č. </w:t>
          </w:r>
          <w:r w:rsidR="00C83E8B">
            <w:rPr>
              <w:b/>
              <w:bCs/>
            </w:rPr>
            <w:t>4</w:t>
          </w:r>
          <w:r>
            <w:rPr>
              <w:b/>
              <w:bCs/>
            </w:rPr>
            <w:t xml:space="preserve"> ZP TP OPŽP/OPST </w:t>
          </w:r>
        </w:p>
      </w:tc>
    </w:tr>
  </w:tbl>
  <w:p w14:paraId="400AE7A0" w14:textId="77777777" w:rsidR="0084511A" w:rsidRDefault="0084511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0D1367"/>
    <w:multiLevelType w:val="hybridMultilevel"/>
    <w:tmpl w:val="14BE32D8"/>
    <w:lvl w:ilvl="0" w:tplc="CEA04BF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F4067E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F283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A20A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E33C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660C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CAFA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4E817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24C7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A2203A"/>
    <w:multiLevelType w:val="hybridMultilevel"/>
    <w:tmpl w:val="22429EAC"/>
    <w:lvl w:ilvl="0" w:tplc="A1E08C6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DE16B0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4897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B6C3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2A79B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6EF8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6EC6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624E8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DAEB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5106634">
    <w:abstractNumId w:val="0"/>
  </w:num>
  <w:num w:numId="2" w16cid:durableId="446390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11A"/>
    <w:rsid w:val="00076CA0"/>
    <w:rsid w:val="000B4467"/>
    <w:rsid w:val="000F200C"/>
    <w:rsid w:val="00222786"/>
    <w:rsid w:val="003A293A"/>
    <w:rsid w:val="00517840"/>
    <w:rsid w:val="005E4B38"/>
    <w:rsid w:val="0062158E"/>
    <w:rsid w:val="00683C56"/>
    <w:rsid w:val="006B0BED"/>
    <w:rsid w:val="006C233A"/>
    <w:rsid w:val="006F5AE2"/>
    <w:rsid w:val="00750391"/>
    <w:rsid w:val="0084511A"/>
    <w:rsid w:val="0088218D"/>
    <w:rsid w:val="008A1D6C"/>
    <w:rsid w:val="00935222"/>
    <w:rsid w:val="009B1D0F"/>
    <w:rsid w:val="00A639D4"/>
    <w:rsid w:val="00AF41B6"/>
    <w:rsid w:val="00B120DB"/>
    <w:rsid w:val="00B34B5E"/>
    <w:rsid w:val="00B36A74"/>
    <w:rsid w:val="00C51A44"/>
    <w:rsid w:val="00C81C15"/>
    <w:rsid w:val="00C83E8B"/>
    <w:rsid w:val="00CC1CD4"/>
    <w:rsid w:val="00CD23EE"/>
    <w:rsid w:val="00CF4264"/>
    <w:rsid w:val="00D1033D"/>
    <w:rsid w:val="00D840AE"/>
    <w:rsid w:val="00E5278C"/>
    <w:rsid w:val="00EE24E3"/>
    <w:rsid w:val="00F60E6D"/>
    <w:rsid w:val="00FA4B4A"/>
    <w:rsid w:val="00FC3F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3C6F3"/>
  <w15:docId w15:val="{7402EB15-B9F8-44F7-89FC-CE38EF5C7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Pr>
      <w:rFonts w:ascii="Arial" w:eastAsia="Arial" w:hAnsi="Arial" w:cs="Arial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="Arial" w:eastAsia="Arial" w:hAnsi="Arial" w:cs="Arial"/>
      <w:sz w:val="34"/>
    </w:rPr>
  </w:style>
  <w:style w:type="character" w:customStyle="1" w:styleId="Nadpis3Char">
    <w:name w:val="Nadpis 3 Char"/>
    <w:basedOn w:val="Standardnpsmoodstavce"/>
    <w:link w:val="Nadpis3"/>
    <w:uiPriority w:val="9"/>
    <w:rPr>
      <w:rFonts w:ascii="Arial" w:eastAsia="Arial" w:hAnsi="Arial" w:cs="Arial"/>
      <w:sz w:val="30"/>
      <w:szCs w:val="30"/>
    </w:rPr>
  </w:style>
  <w:style w:type="character" w:customStyle="1" w:styleId="Nadpis4Char">
    <w:name w:val="Nadpis 4 Char"/>
    <w:basedOn w:val="Standardnpsmoodstavce"/>
    <w:link w:val="Nadpis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rPr>
      <w:rFonts w:ascii="Arial" w:eastAsia="Arial" w:hAnsi="Arial" w:cs="Arial"/>
      <w:i/>
      <w:iCs/>
      <w:sz w:val="21"/>
      <w:szCs w:val="21"/>
    </w:rPr>
  </w:style>
  <w:style w:type="paragraph" w:styleId="Nzev">
    <w:name w:val="Title"/>
    <w:basedOn w:val="Normln"/>
    <w:next w:val="Normln"/>
    <w:link w:val="NzevCh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pPr>
      <w:spacing w:before="200" w:after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Pr>
      <w:i/>
    </w:rPr>
  </w:style>
  <w:style w:type="character" w:customStyle="1" w:styleId="HeaderChar">
    <w:name w:val="Header Char"/>
    <w:basedOn w:val="Standardnpsmoodstavce"/>
    <w:uiPriority w:val="99"/>
  </w:style>
  <w:style w:type="character" w:customStyle="1" w:styleId="FooterChar">
    <w:name w:val="Footer Char"/>
    <w:basedOn w:val="Standardnpsmoodstavce"/>
    <w:uiPriority w:val="99"/>
  </w:style>
  <w:style w:type="paragraph" w:styleId="Titulek">
    <w:name w:val="caption"/>
    <w:basedOn w:val="Normln"/>
    <w:next w:val="Normln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Prosttabulka2">
    <w:name w:val="Plain Table 2"/>
    <w:basedOn w:val="Normlntabulka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Prosttabulka4">
    <w:name w:val="Plain Table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Prosttabulka5">
    <w:name w:val="Plain Table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Svtltabulkasmkou1">
    <w:name w:val="Grid Table 1 Light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ulkasmkou2">
    <w:name w:val="Grid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Tabulkasmkou3">
    <w:name w:val="Grid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Tabulkasmkou4">
    <w:name w:val="Grid Table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Tmavtabulkasmkou5">
    <w:name w:val="Grid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Barevntabulkasmkou6">
    <w:name w:val="Grid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Tabulkaseznamu2">
    <w:name w:val="List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Tabulkaseznamu3">
    <w:name w:val="List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ulkaseznamu4">
    <w:name w:val="List Table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Tmavtabulkaseznamu5">
    <w:name w:val="List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Barevntabulkaseznamu6">
    <w:name w:val="List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textovodkaz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Obsah1">
    <w:name w:val="toc 1"/>
    <w:basedOn w:val="Normln"/>
    <w:next w:val="Normln"/>
    <w:uiPriority w:val="39"/>
    <w:unhideWhenUsed/>
    <w:pPr>
      <w:spacing w:after="57"/>
    </w:pPr>
  </w:style>
  <w:style w:type="paragraph" w:styleId="Obsah2">
    <w:name w:val="toc 2"/>
    <w:basedOn w:val="Normln"/>
    <w:next w:val="Normln"/>
    <w:uiPriority w:val="39"/>
    <w:unhideWhenUsed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pPr>
      <w:spacing w:after="57"/>
      <w:ind w:left="2268"/>
    </w:pPr>
  </w:style>
  <w:style w:type="paragraph" w:styleId="Nadpisobsahu">
    <w:name w:val="TOC Heading"/>
    <w:uiPriority w:val="39"/>
    <w:unhideWhenUsed/>
  </w:style>
  <w:style w:type="paragraph" w:styleId="Seznamobrzk">
    <w:name w:val="table of figures"/>
    <w:basedOn w:val="Normln"/>
    <w:next w:val="Normln"/>
    <w:uiPriority w:val="99"/>
    <w:unhideWhenUsed/>
    <w:pPr>
      <w:spacing w:after="0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Pr>
      <w:vertAlign w:val="superscript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table" w:styleId="Mkatabulky">
    <w:name w:val="Table Grid"/>
    <w:basedOn w:val="Normlntabulka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</w:style>
  <w:style w:type="paragraph" w:styleId="Zpat">
    <w:name w:val="footer"/>
    <w:basedOn w:val="Normln"/>
    <w:link w:val="ZpatChar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</w:style>
  <w:style w:type="paragraph" w:styleId="Revize">
    <w:name w:val="Revision"/>
    <w:hidden/>
    <w:uiPriority w:val="99"/>
    <w:semiHidden/>
    <w:pPr>
      <w:spacing w:after="0" w:line="240" w:lineRule="auto"/>
    </w:pPr>
  </w:style>
  <w:style w:type="paragraph" w:styleId="Textvysvtlivek">
    <w:name w:val="endnote text"/>
    <w:basedOn w:val="Normln"/>
    <w:link w:val="Textvysvtlivek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Pr>
      <w:vertAlign w:val="superscript"/>
    </w:rPr>
  </w:style>
  <w:style w:type="paragraph" w:styleId="Bezmezer">
    <w:name w:val="No Spacing"/>
    <w:basedOn w:val="Zhlav"/>
    <w:uiPriority w:val="1"/>
    <w:qFormat/>
    <w:pPr>
      <w:spacing w:line="276" w:lineRule="auto"/>
    </w:pPr>
    <w:rPr>
      <w:rFonts w:ascii="Arial" w:eastAsia="Calibri" w:hAnsi="Arial" w:cs="Arial"/>
      <w:sz w:val="24"/>
      <w:szCs w:val="24"/>
    </w:rPr>
  </w:style>
  <w:style w:type="character" w:styleId="slostrnky">
    <w:name w:val="page number"/>
    <w:rPr>
      <w:rFonts w:ascii="Arial" w:eastAsia="MS Mincho" w:hAnsi="Arial"/>
      <w:color w:val="000080"/>
      <w:sz w:val="21"/>
      <w:lang w:val="en-GB"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Kancelář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878A955B-B837-4936-B204-DC41F6643C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Kuťák Lukáš</dc:creator>
  <cp:lastModifiedBy>Veronika Tvardková</cp:lastModifiedBy>
  <cp:revision>5</cp:revision>
  <dcterms:created xsi:type="dcterms:W3CDTF">2025-10-16T12:00:00Z</dcterms:created>
  <dcterms:modified xsi:type="dcterms:W3CDTF">2025-11-14T10:17:00Z</dcterms:modified>
</cp:coreProperties>
</file>